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C" w:rsidRPr="004D13E7" w:rsidRDefault="004D13E7" w:rsidP="0087241C">
      <w:pPr>
        <w:spacing w:before="1" w:after="0" w:line="278" w:lineRule="auto"/>
        <w:ind w:right="67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GENEL KURULUN ONAYINA SUNULMASI GEREKLİ </w:t>
      </w:r>
      <w:r w:rsidR="0087241C" w:rsidRPr="004D13E7">
        <w:rPr>
          <w:b/>
          <w:color w:val="FF0000"/>
          <w:sz w:val="24"/>
          <w:szCs w:val="24"/>
        </w:rPr>
        <w:t>BİRLEŞME</w:t>
      </w:r>
      <w:r>
        <w:rPr>
          <w:b/>
          <w:color w:val="FF0000"/>
          <w:sz w:val="24"/>
          <w:szCs w:val="24"/>
        </w:rPr>
        <w:t xml:space="preserve"> KARAR ÖRNEKLERİ</w:t>
      </w:r>
      <w:r w:rsidR="0087241C" w:rsidRPr="004D13E7">
        <w:rPr>
          <w:b/>
          <w:color w:val="FF0000"/>
          <w:sz w:val="24"/>
          <w:szCs w:val="24"/>
        </w:rPr>
        <w:t>:</w:t>
      </w:r>
    </w:p>
    <w:p w:rsidR="004D13E7" w:rsidRPr="004D13E7" w:rsidRDefault="004D13E7" w:rsidP="0087241C">
      <w:pPr>
        <w:spacing w:before="1" w:after="0" w:line="278" w:lineRule="auto"/>
        <w:ind w:right="67"/>
        <w:jc w:val="both"/>
        <w:rPr>
          <w:b/>
          <w:color w:val="4F81BD" w:themeColor="accent1"/>
          <w:sz w:val="24"/>
          <w:szCs w:val="24"/>
        </w:rPr>
      </w:pPr>
    </w:p>
    <w:p w:rsidR="0087241C" w:rsidRPr="004D13E7" w:rsidRDefault="0087241C" w:rsidP="0087241C">
      <w:pPr>
        <w:spacing w:before="1" w:after="0" w:line="278" w:lineRule="auto"/>
        <w:ind w:right="67"/>
        <w:jc w:val="both"/>
        <w:rPr>
          <w:b/>
          <w:color w:val="4F81BD" w:themeColor="accent1"/>
          <w:sz w:val="20"/>
          <w:szCs w:val="20"/>
        </w:rPr>
      </w:pPr>
      <w:r w:rsidRPr="004D13E7">
        <w:rPr>
          <w:b/>
          <w:color w:val="4F81BD" w:themeColor="accent1"/>
          <w:sz w:val="24"/>
          <w:szCs w:val="24"/>
        </w:rPr>
        <w:t>DEVROLAN ŞİRKET</w:t>
      </w:r>
      <w:r w:rsidRPr="004D13E7">
        <w:rPr>
          <w:b/>
          <w:color w:val="4F81BD" w:themeColor="accent1"/>
          <w:sz w:val="20"/>
          <w:szCs w:val="20"/>
        </w:rPr>
        <w:t>:</w:t>
      </w:r>
    </w:p>
    <w:p w:rsidR="0087241C" w:rsidRPr="004D13E7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4D13E7">
        <w:rPr>
          <w:b/>
          <w:sz w:val="20"/>
          <w:szCs w:val="20"/>
        </w:rPr>
        <w:t>Karar:1</w:t>
      </w:r>
    </w:p>
    <w:p w:rsidR="0087241C" w:rsidRPr="0087241C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87241C">
        <w:rPr>
          <w:b/>
          <w:sz w:val="20"/>
          <w:szCs w:val="20"/>
        </w:rPr>
        <w:t xml:space="preserve"> Şirketimizin Yönetim / Müdürler Kurulunca toplanarak aşağıdaki hususlar görüşülmüştür:</w:t>
      </w:r>
    </w:p>
    <w:p w:rsidR="0087241C" w:rsidRDefault="0087241C" w:rsidP="0087241C">
      <w:pPr>
        <w:spacing w:before="1" w:after="0" w:line="278" w:lineRule="auto"/>
        <w:ind w:right="67"/>
        <w:jc w:val="both"/>
        <w:rPr>
          <w:b/>
          <w:sz w:val="28"/>
          <w:szCs w:val="28"/>
        </w:rPr>
      </w:pPr>
      <w:r w:rsidRPr="0087241C">
        <w:rPr>
          <w:b/>
          <w:sz w:val="20"/>
          <w:szCs w:val="20"/>
        </w:rPr>
        <w:t xml:space="preserve">Şirketimizin TTK </w:t>
      </w:r>
      <w:proofErr w:type="spellStart"/>
      <w:r w:rsidRPr="0087241C">
        <w:rPr>
          <w:b/>
          <w:sz w:val="20"/>
          <w:szCs w:val="20"/>
        </w:rPr>
        <w:t>nun</w:t>
      </w:r>
      <w:proofErr w:type="spellEnd"/>
      <w:r w:rsidRPr="0087241C">
        <w:rPr>
          <w:b/>
          <w:sz w:val="20"/>
          <w:szCs w:val="20"/>
        </w:rPr>
        <w:t xml:space="preserve"> 136</w:t>
      </w:r>
      <w:proofErr w:type="gramStart"/>
      <w:r w:rsidRPr="0087241C">
        <w:rPr>
          <w:b/>
          <w:sz w:val="20"/>
          <w:szCs w:val="20"/>
        </w:rPr>
        <w:t>.,</w:t>
      </w:r>
      <w:proofErr w:type="gramEnd"/>
      <w:r w:rsidRPr="0087241C">
        <w:rPr>
          <w:b/>
          <w:sz w:val="20"/>
          <w:szCs w:val="20"/>
        </w:rPr>
        <w:t xml:space="preserve">155.,156.ve diğer ilgili maddeleri ile Kurumlar Vergisi Kanununun 18,19 ve 20.maddeleri uyarınca …./…../……tarihli mali tabloların/bilançonun esas alınması suretiyle tüm hak ve vecibeleriyle,aktif pasifiyle birlikte kül halinde tasfiyesiz infisah yoluyla ……………..Ticaret Sicili Müdürlüğünde ………..sicil numarasıyla kayıtlı bulunan …………………………………………………………….’ne devir olmasına bu doğrultuda   </w:t>
      </w:r>
      <w:proofErr w:type="spellStart"/>
      <w:r w:rsidRPr="0087241C">
        <w:rPr>
          <w:b/>
          <w:sz w:val="20"/>
          <w:szCs w:val="20"/>
        </w:rPr>
        <w:t>hazırlancak</w:t>
      </w:r>
      <w:proofErr w:type="spellEnd"/>
      <w:r w:rsidRPr="0087241C">
        <w:rPr>
          <w:b/>
          <w:sz w:val="20"/>
          <w:szCs w:val="20"/>
        </w:rPr>
        <w:t xml:space="preserve"> Birleşme Sözleşmesi, Birleşme Raporu, Son Üç Yılın Finansal Tabloları ile Yıllık Faaliyet Raporlarının (gerekirse ara bilanço) Genel Kurulun onayına sunulmasından önce otuz gün süresince … / … /</w:t>
      </w:r>
      <w:proofErr w:type="gramStart"/>
      <w:r w:rsidRPr="0087241C">
        <w:rPr>
          <w:b/>
          <w:sz w:val="20"/>
          <w:szCs w:val="20"/>
        </w:rPr>
        <w:t>……..</w:t>
      </w:r>
      <w:proofErr w:type="gramEnd"/>
      <w:r w:rsidRPr="0087241C">
        <w:rPr>
          <w:b/>
          <w:sz w:val="20"/>
          <w:szCs w:val="20"/>
        </w:rPr>
        <w:t>tarihinden itibaren ortaklarını incelemesine sunulacağına karar verilmiştir</w:t>
      </w:r>
      <w:r>
        <w:rPr>
          <w:b/>
          <w:sz w:val="28"/>
          <w:szCs w:val="28"/>
        </w:rPr>
        <w:t>.</w:t>
      </w:r>
    </w:p>
    <w:p w:rsidR="004D13E7" w:rsidRDefault="004D13E7" w:rsidP="0087241C">
      <w:pPr>
        <w:spacing w:before="1" w:after="0" w:line="278" w:lineRule="auto"/>
        <w:ind w:right="67"/>
        <w:jc w:val="both"/>
        <w:rPr>
          <w:color w:val="C00000"/>
          <w:spacing w:val="-2"/>
        </w:rPr>
      </w:pPr>
    </w:p>
    <w:p w:rsidR="0087241C" w:rsidRPr="008A6A57" w:rsidRDefault="0087241C" w:rsidP="0087241C">
      <w:pPr>
        <w:spacing w:before="1" w:after="0" w:line="278" w:lineRule="auto"/>
        <w:ind w:right="67"/>
        <w:jc w:val="both"/>
        <w:rPr>
          <w:b/>
          <w:color w:val="00B0F0"/>
          <w:sz w:val="24"/>
          <w:szCs w:val="24"/>
        </w:rPr>
      </w:pPr>
      <w:r w:rsidRPr="008A6A57">
        <w:rPr>
          <w:b/>
          <w:color w:val="00B0F0"/>
          <w:sz w:val="24"/>
          <w:szCs w:val="24"/>
        </w:rPr>
        <w:t>(bu karar alınacak, tescil edilmeyip, birleşmenin genel kurulun onayına sunulduğu zaman genel kurul evraklarıyla birlikte getirilecek)</w:t>
      </w:r>
    </w:p>
    <w:p w:rsidR="004D13E7" w:rsidRDefault="004D13E7" w:rsidP="004D13E7">
      <w:pPr>
        <w:spacing w:before="1" w:after="0" w:line="278" w:lineRule="auto"/>
        <w:ind w:right="67"/>
        <w:jc w:val="both"/>
        <w:rPr>
          <w:color w:val="C00000"/>
          <w:spacing w:val="-2"/>
        </w:rPr>
      </w:pPr>
    </w:p>
    <w:p w:rsidR="004D13E7" w:rsidRDefault="004D13E7" w:rsidP="004D13E7">
      <w:pPr>
        <w:spacing w:before="1" w:after="0" w:line="278" w:lineRule="auto"/>
        <w:ind w:right="67"/>
        <w:jc w:val="both"/>
        <w:rPr>
          <w:b/>
          <w:color w:val="00B0F0"/>
          <w:sz w:val="24"/>
          <w:szCs w:val="24"/>
        </w:rPr>
      </w:pPr>
      <w:proofErr w:type="gramStart"/>
      <w:r>
        <w:rPr>
          <w:color w:val="C00000"/>
          <w:spacing w:val="-2"/>
        </w:rPr>
        <w:t>Not:</w:t>
      </w:r>
      <w:proofErr w:type="spellStart"/>
      <w:r w:rsidRPr="008A6A57">
        <w:rPr>
          <w:color w:val="C00000"/>
          <w:spacing w:val="-2"/>
        </w:rPr>
        <w:t>T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</w:rPr>
        <w:t>m</w:t>
      </w:r>
      <w:r w:rsidRPr="008A6A57">
        <w:rPr>
          <w:color w:val="C00000"/>
          <w:spacing w:val="1"/>
        </w:rPr>
        <w:t>o</w:t>
      </w:r>
      <w:r w:rsidRPr="008A6A57">
        <w:rPr>
          <w:color w:val="C00000"/>
        </w:rPr>
        <w:t>rt</w:t>
      </w:r>
      <w:r w:rsidRPr="008A6A57">
        <w:rPr>
          <w:color w:val="C00000"/>
          <w:spacing w:val="2"/>
        </w:rPr>
        <w:t>a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</w:rPr>
        <w:t>ların</w:t>
      </w:r>
      <w:proofErr w:type="spellEnd"/>
      <w:proofErr w:type="gramEnd"/>
      <w:r w:rsidRPr="008A6A57">
        <w:rPr>
          <w:color w:val="C00000"/>
        </w:rPr>
        <w:t xml:space="preserve"> </w:t>
      </w:r>
      <w:r w:rsidRPr="008A6A57">
        <w:rPr>
          <w:color w:val="C00000"/>
          <w:spacing w:val="1"/>
        </w:rPr>
        <w:t>on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  <w:spacing w:val="-4"/>
        </w:rPr>
        <w:t>y</w:t>
      </w:r>
      <w:r w:rsidRPr="008A6A57">
        <w:rPr>
          <w:color w:val="C00000"/>
        </w:rPr>
        <w:t>l</w:t>
      </w:r>
      <w:r w:rsidRPr="008A6A57">
        <w:rPr>
          <w:color w:val="C00000"/>
          <w:spacing w:val="2"/>
        </w:rPr>
        <w:t>a</w:t>
      </w:r>
      <w:r w:rsidRPr="008A6A57">
        <w:rPr>
          <w:color w:val="C00000"/>
          <w:spacing w:val="-1"/>
        </w:rPr>
        <w:t>ma</w:t>
      </w:r>
      <w:r w:rsidRPr="008A6A57">
        <w:rPr>
          <w:color w:val="C00000"/>
        </w:rPr>
        <w:t xml:space="preserve">sı </w:t>
      </w:r>
      <w:r w:rsidRPr="008A6A57">
        <w:rPr>
          <w:color w:val="C00000"/>
          <w:spacing w:val="1"/>
        </w:rPr>
        <w:t>h</w:t>
      </w:r>
      <w:r w:rsidRPr="008A6A57">
        <w:rPr>
          <w:color w:val="C00000"/>
          <w:spacing w:val="-1"/>
        </w:rPr>
        <w:t>â</w:t>
      </w:r>
      <w:r w:rsidRPr="008A6A57">
        <w:rPr>
          <w:color w:val="C00000"/>
        </w:rPr>
        <w:t>l</w:t>
      </w:r>
      <w:r w:rsidRPr="008A6A57">
        <w:rPr>
          <w:color w:val="C00000"/>
          <w:spacing w:val="1"/>
        </w:rPr>
        <w:t>ind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 xml:space="preserve">, 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  <w:spacing w:val="-1"/>
        </w:rPr>
        <w:t>ç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</w:rPr>
        <w:t xml:space="preserve">k </w:t>
      </w:r>
      <w:r w:rsidRPr="008A6A57">
        <w:rPr>
          <w:color w:val="C00000"/>
          <w:spacing w:val="-1"/>
        </w:rPr>
        <w:t>v</w:t>
      </w:r>
      <w:r w:rsidRPr="008A6A57">
        <w:rPr>
          <w:color w:val="C00000"/>
        </w:rPr>
        <w:t xml:space="preserve">e </w:t>
      </w:r>
      <w:r w:rsidRPr="008A6A57">
        <w:rPr>
          <w:color w:val="C00000"/>
          <w:spacing w:val="1"/>
        </w:rPr>
        <w:t>o</w:t>
      </w:r>
      <w:r w:rsidRPr="008A6A57">
        <w:rPr>
          <w:color w:val="C00000"/>
        </w:rPr>
        <w:t xml:space="preserve">rta </w:t>
      </w:r>
      <w:r w:rsidRPr="008A6A57">
        <w:rPr>
          <w:color w:val="C00000"/>
          <w:spacing w:val="1"/>
        </w:rPr>
        <w:t>ö</w:t>
      </w:r>
      <w:r w:rsidRPr="008A6A57">
        <w:rPr>
          <w:color w:val="C00000"/>
        </w:rPr>
        <w:t>lç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  <w:spacing w:val="1"/>
        </w:rPr>
        <w:t>k</w:t>
      </w:r>
      <w:r w:rsidRPr="008A6A57">
        <w:rPr>
          <w:color w:val="C00000"/>
        </w:rPr>
        <w:t>li şir</w:t>
      </w:r>
      <w:r w:rsidRPr="008A6A57">
        <w:rPr>
          <w:color w:val="C00000"/>
          <w:spacing w:val="-1"/>
        </w:rPr>
        <w:t>ke</w:t>
      </w:r>
      <w:r w:rsidRPr="008A6A57">
        <w:rPr>
          <w:color w:val="C00000"/>
        </w:rPr>
        <w:t>t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>r i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  <w:spacing w:val="-1"/>
        </w:rPr>
        <w:t>ce</w:t>
      </w:r>
      <w:r w:rsidRPr="008A6A57">
        <w:rPr>
          <w:color w:val="C00000"/>
        </w:rPr>
        <w:t>l</w:t>
      </w:r>
      <w:r w:rsidRPr="008A6A57">
        <w:rPr>
          <w:color w:val="C00000"/>
          <w:spacing w:val="2"/>
        </w:rPr>
        <w:t>e</w:t>
      </w:r>
      <w:r w:rsidRPr="008A6A57">
        <w:rPr>
          <w:color w:val="C00000"/>
          <w:spacing w:val="-3"/>
        </w:rPr>
        <w:t>m</w:t>
      </w:r>
      <w:r w:rsidRPr="008A6A57">
        <w:rPr>
          <w:color w:val="C00000"/>
        </w:rPr>
        <w:t xml:space="preserve">e </w:t>
      </w:r>
      <w:r w:rsidRPr="008A6A57">
        <w:rPr>
          <w:color w:val="C00000"/>
          <w:spacing w:val="1"/>
        </w:rPr>
        <w:t>ha</w:t>
      </w:r>
      <w:r w:rsidRPr="008A6A57">
        <w:rPr>
          <w:color w:val="C00000"/>
          <w:spacing w:val="-1"/>
        </w:rPr>
        <w:t>kk</w:t>
      </w:r>
      <w:r w:rsidRPr="008A6A57">
        <w:rPr>
          <w:color w:val="C00000"/>
        </w:rPr>
        <w:t>ı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</w:rPr>
        <w:t xml:space="preserve">ın 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  <w:spacing w:val="1"/>
        </w:rPr>
        <w:t>u</w:t>
      </w:r>
      <w:r w:rsidRPr="008A6A57">
        <w:rPr>
          <w:color w:val="C00000"/>
        </w:rPr>
        <w:t>l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</w:rPr>
        <w:t>ı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3"/>
        </w:rPr>
        <w:t>m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</w:rPr>
        <w:t>sı</w:t>
      </w:r>
      <w:r w:rsidRPr="008A6A57">
        <w:rPr>
          <w:color w:val="C00000"/>
          <w:spacing w:val="1"/>
        </w:rPr>
        <w:t>nd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</w:rPr>
        <w:t xml:space="preserve">n </w:t>
      </w:r>
      <w:r w:rsidRPr="008A6A57">
        <w:rPr>
          <w:color w:val="C00000"/>
          <w:spacing w:val="-1"/>
        </w:rPr>
        <w:t>va</w:t>
      </w:r>
      <w:r w:rsidRPr="008A6A57">
        <w:rPr>
          <w:color w:val="C00000"/>
          <w:spacing w:val="1"/>
        </w:rPr>
        <w:t>z</w:t>
      </w:r>
      <w:r w:rsidRPr="008A6A57">
        <w:rPr>
          <w:color w:val="C00000"/>
          <w:spacing w:val="-1"/>
        </w:rPr>
        <w:t>geçe</w:t>
      </w:r>
      <w:r w:rsidRPr="008A6A57">
        <w:rPr>
          <w:color w:val="C00000"/>
          <w:spacing w:val="1"/>
        </w:rPr>
        <w:t>b</w:t>
      </w:r>
      <w:r w:rsidRPr="008A6A57">
        <w:rPr>
          <w:color w:val="C00000"/>
        </w:rPr>
        <w:t>i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</w:rPr>
        <w:t>ir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>r.</w:t>
      </w:r>
    </w:p>
    <w:p w:rsidR="00E51EB7" w:rsidRDefault="00E51EB7"/>
    <w:p w:rsidR="0087241C" w:rsidRPr="004D13E7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4D13E7">
        <w:rPr>
          <w:b/>
          <w:sz w:val="20"/>
          <w:szCs w:val="20"/>
        </w:rPr>
        <w:t>Karar:2</w:t>
      </w:r>
    </w:p>
    <w:p w:rsidR="0087241C" w:rsidRPr="004D13E7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4D13E7">
        <w:rPr>
          <w:b/>
          <w:sz w:val="20"/>
          <w:szCs w:val="20"/>
        </w:rPr>
        <w:t>Genel kurul kararı örneği:</w:t>
      </w:r>
    </w:p>
    <w:p w:rsidR="0087241C" w:rsidRPr="0087241C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</w:p>
    <w:p w:rsidR="0087241C" w:rsidRPr="0087241C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87241C">
        <w:rPr>
          <w:b/>
          <w:sz w:val="20"/>
          <w:szCs w:val="20"/>
        </w:rPr>
        <w:t xml:space="preserve">Şirketimizin TTK </w:t>
      </w:r>
      <w:proofErr w:type="spellStart"/>
      <w:r w:rsidRPr="0087241C">
        <w:rPr>
          <w:b/>
          <w:sz w:val="20"/>
          <w:szCs w:val="20"/>
        </w:rPr>
        <w:t>nun</w:t>
      </w:r>
      <w:proofErr w:type="spellEnd"/>
      <w:r w:rsidRPr="0087241C">
        <w:rPr>
          <w:b/>
          <w:sz w:val="20"/>
          <w:szCs w:val="20"/>
        </w:rPr>
        <w:t xml:space="preserve"> 136</w:t>
      </w:r>
      <w:proofErr w:type="gramStart"/>
      <w:r w:rsidRPr="0087241C">
        <w:rPr>
          <w:b/>
          <w:sz w:val="20"/>
          <w:szCs w:val="20"/>
        </w:rPr>
        <w:t>.,</w:t>
      </w:r>
      <w:proofErr w:type="gramEnd"/>
      <w:r w:rsidRPr="0087241C">
        <w:rPr>
          <w:b/>
          <w:sz w:val="20"/>
          <w:szCs w:val="20"/>
        </w:rPr>
        <w:t xml:space="preserve">155.,156.ve diğer ilgili maddeleri ile Kurumlar Vergisi Kanununun 18,19 ve 20.maddeleri uyarınca …./…../……tarihli mali tabloların/bilançonun esas alınması suretiyle tüm hak ve vecibeleriyle,aktif pasifiyle birlikte kül halinde tasfiyesiz infisah yoluyla ……………..Ticaret Sicili Müdürlüğünde ………..sicil numarasıyla kayıtlı bulunan …………………………………………………………….’ne devir olması ile ilgili yönetim/müdürler  kurulu tarafından alınmış bulunan kararın görüşülmesine geçilerek; ………………..Ticaret Sicili Müdürlüğünde ………..sicil numarasıyla kayıtlı bulunan …………………………………………………………….’ne ……………………….. TTK </w:t>
      </w:r>
      <w:proofErr w:type="spellStart"/>
      <w:r w:rsidRPr="0087241C">
        <w:rPr>
          <w:b/>
          <w:sz w:val="20"/>
          <w:szCs w:val="20"/>
        </w:rPr>
        <w:t>nun</w:t>
      </w:r>
      <w:proofErr w:type="spellEnd"/>
      <w:r w:rsidRPr="0087241C">
        <w:rPr>
          <w:b/>
          <w:sz w:val="20"/>
          <w:szCs w:val="20"/>
        </w:rPr>
        <w:t xml:space="preserve"> 136</w:t>
      </w:r>
      <w:proofErr w:type="gramStart"/>
      <w:r w:rsidRPr="0087241C">
        <w:rPr>
          <w:b/>
          <w:sz w:val="20"/>
          <w:szCs w:val="20"/>
        </w:rPr>
        <w:t>.,</w:t>
      </w:r>
      <w:proofErr w:type="gramEnd"/>
      <w:r w:rsidRPr="0087241C">
        <w:rPr>
          <w:b/>
          <w:sz w:val="20"/>
          <w:szCs w:val="20"/>
        </w:rPr>
        <w:t>155.,156.ve diğer ilgili maddeleri ile Kurumlar Vergisi Kanununun 18,19 ve 20.maddeleri uyarınca …./…../……tarihli mali tabloların/bilançonun esas alınması suretiyle tüm hak ve vecibeleriyle,aktif pasifiyle birlikte kül halinde tasfiyesiz infisahının kabul olduğu,</w:t>
      </w:r>
    </w:p>
    <w:p w:rsidR="0087241C" w:rsidRPr="0087241C" w:rsidRDefault="0087241C" w:rsidP="0087241C">
      <w:pPr>
        <w:spacing w:before="1" w:after="0" w:line="278" w:lineRule="auto"/>
        <w:ind w:right="67"/>
        <w:jc w:val="both"/>
        <w:rPr>
          <w:b/>
          <w:sz w:val="20"/>
          <w:szCs w:val="20"/>
        </w:rPr>
      </w:pPr>
      <w:r w:rsidRPr="0087241C">
        <w:rPr>
          <w:b/>
          <w:sz w:val="20"/>
          <w:szCs w:val="20"/>
        </w:rPr>
        <w:t xml:space="preserve">Birleşme işlemleri tamamlandığından, </w:t>
      </w:r>
    </w:p>
    <w:p w:rsidR="0087241C" w:rsidRPr="0087241C" w:rsidRDefault="0087241C" w:rsidP="0087241C">
      <w:pPr>
        <w:rPr>
          <w:b/>
          <w:sz w:val="20"/>
          <w:szCs w:val="20"/>
        </w:rPr>
      </w:pPr>
      <w:r w:rsidRPr="0087241C">
        <w:rPr>
          <w:b/>
          <w:sz w:val="20"/>
          <w:szCs w:val="20"/>
        </w:rPr>
        <w:t xml:space="preserve">-Birleşme </w:t>
      </w:r>
      <w:proofErr w:type="gramStart"/>
      <w:r w:rsidRPr="0087241C">
        <w:rPr>
          <w:b/>
          <w:sz w:val="20"/>
          <w:szCs w:val="20"/>
        </w:rPr>
        <w:t>Sözleşmemizin</w:t>
      </w:r>
      <w:r w:rsidR="004D13E7">
        <w:rPr>
          <w:b/>
          <w:sz w:val="20"/>
          <w:szCs w:val="20"/>
        </w:rPr>
        <w:t>,Birleşme</w:t>
      </w:r>
      <w:proofErr w:type="gramEnd"/>
      <w:r w:rsidR="004D13E7">
        <w:rPr>
          <w:b/>
          <w:sz w:val="20"/>
          <w:szCs w:val="20"/>
        </w:rPr>
        <w:t xml:space="preserve"> </w:t>
      </w:r>
      <w:proofErr w:type="spellStart"/>
      <w:r w:rsidR="004D13E7">
        <w:rPr>
          <w:b/>
          <w:sz w:val="20"/>
          <w:szCs w:val="20"/>
        </w:rPr>
        <w:t>Raporu</w:t>
      </w:r>
      <w:r w:rsidRPr="0087241C">
        <w:rPr>
          <w:b/>
          <w:sz w:val="20"/>
          <w:szCs w:val="20"/>
        </w:rPr>
        <w:t>ve</w:t>
      </w:r>
      <w:proofErr w:type="spellEnd"/>
      <w:r w:rsidRPr="0087241C">
        <w:rPr>
          <w:b/>
          <w:sz w:val="20"/>
          <w:szCs w:val="20"/>
        </w:rPr>
        <w:t xml:space="preserve"> Finansal Tabloları ve Yıllık Faaliyet Raporlarının  Genel Kurulun onayına sunulmasına,</w:t>
      </w:r>
    </w:p>
    <w:p w:rsidR="0087241C" w:rsidRPr="0087241C" w:rsidRDefault="0087241C" w:rsidP="0087241C">
      <w:pPr>
        <w:spacing w:before="1" w:after="0" w:line="278" w:lineRule="auto"/>
        <w:ind w:right="73"/>
        <w:jc w:val="both"/>
        <w:rPr>
          <w:b/>
          <w:sz w:val="20"/>
          <w:szCs w:val="20"/>
        </w:rPr>
      </w:pPr>
      <w:r w:rsidRPr="0087241C">
        <w:rPr>
          <w:b/>
          <w:sz w:val="20"/>
          <w:szCs w:val="20"/>
        </w:rPr>
        <w:t>-birleşme ile ilgili TTK hükümleri gereği alacaklılara ilanen duyurularının yapılmasına, Birleşme işlemleri tamamlanarak şirketimizin infisah etmesinden dolayı kaydımızın silinmesine karar verilmiştir.</w:t>
      </w:r>
    </w:p>
    <w:p w:rsidR="004D13E7" w:rsidRPr="004D13E7" w:rsidRDefault="004D13E7" w:rsidP="0087241C">
      <w:pPr>
        <w:rPr>
          <w:b/>
          <w:color w:val="00B0F0"/>
          <w:sz w:val="28"/>
          <w:szCs w:val="28"/>
        </w:rPr>
      </w:pPr>
      <w:bookmarkStart w:id="0" w:name="_GoBack"/>
      <w:bookmarkEnd w:id="0"/>
    </w:p>
    <w:p w:rsidR="0087241C" w:rsidRPr="004D13E7" w:rsidRDefault="0087241C" w:rsidP="0087241C">
      <w:pPr>
        <w:rPr>
          <w:b/>
          <w:color w:val="4F81BD" w:themeColor="accent1"/>
          <w:sz w:val="24"/>
          <w:szCs w:val="24"/>
        </w:rPr>
      </w:pPr>
      <w:r w:rsidRPr="004D13E7">
        <w:rPr>
          <w:b/>
          <w:color w:val="4F81BD" w:themeColor="accent1"/>
          <w:sz w:val="24"/>
          <w:szCs w:val="24"/>
        </w:rPr>
        <w:t xml:space="preserve">DEVRALAN ŞİRKET </w:t>
      </w:r>
    </w:p>
    <w:p w:rsidR="0087241C" w:rsidRPr="00994A58" w:rsidRDefault="0087241C" w:rsidP="0087241C">
      <w:pPr>
        <w:rPr>
          <w:b/>
        </w:rPr>
      </w:pPr>
      <w:r w:rsidRPr="00994A58">
        <w:rPr>
          <w:b/>
        </w:rPr>
        <w:t>1.karar</w:t>
      </w:r>
    </w:p>
    <w:p w:rsidR="0087241C" w:rsidRPr="00994A58" w:rsidRDefault="0087241C" w:rsidP="0087241C">
      <w:pPr>
        <w:spacing w:before="1" w:after="0" w:line="278" w:lineRule="auto"/>
        <w:ind w:right="67"/>
        <w:jc w:val="both"/>
      </w:pPr>
      <w:r w:rsidRPr="00994A58">
        <w:t xml:space="preserve">Şirketimizin TTK </w:t>
      </w:r>
      <w:proofErr w:type="spellStart"/>
      <w:r w:rsidRPr="00994A58">
        <w:t>nun</w:t>
      </w:r>
      <w:proofErr w:type="spellEnd"/>
      <w:r w:rsidRPr="00994A58">
        <w:t xml:space="preserve"> 136</w:t>
      </w:r>
      <w:proofErr w:type="gramStart"/>
      <w:r w:rsidRPr="00994A58">
        <w:t>.,</w:t>
      </w:r>
      <w:proofErr w:type="gramEnd"/>
      <w:r w:rsidRPr="00994A58">
        <w:t xml:space="preserve">155.,156.ve diğer ilgili maddeleri ile Kurumlar Vergisi Kanununun 18,19 ve 20.maddeleri uyarınca …./…../……tarihli mali tabloların/bilançonun esas alınması suretiyle tüm hak ve vecibeleriyle,aktif pasifiyle birlikte kül halinde tasfiyesiz infisah yoluyla ……………..Ticaret Sicili </w:t>
      </w:r>
      <w:r w:rsidRPr="00994A58">
        <w:lastRenderedPageBreak/>
        <w:t>Müdürlüğünde ………..sicil numarasıyla kayıtlı bulunan …………………………………………………………….’</w:t>
      </w:r>
      <w:proofErr w:type="spellStart"/>
      <w:r w:rsidRPr="00994A58">
        <w:t>ni</w:t>
      </w:r>
      <w:proofErr w:type="spellEnd"/>
      <w:r w:rsidRPr="00994A58">
        <w:t xml:space="preserve"> devir alması ile ilgili işlemlerin yapılmasına,bu doğrultuda   </w:t>
      </w:r>
      <w:proofErr w:type="spellStart"/>
      <w:r w:rsidRPr="00994A58">
        <w:t>hazırlancak</w:t>
      </w:r>
      <w:proofErr w:type="spellEnd"/>
      <w:r w:rsidRPr="00994A58">
        <w:t xml:space="preserve"> Birleşme Sözleşmesi, Birleşme Raporu, Son Üç Yılın Finansal Tabloları ile Yıllık Faaliyet Raporlarının (gerekirse ara bilanço) Genel Kurulun onayına sunulmasından önce otuz gün süresince … / … /</w:t>
      </w:r>
      <w:proofErr w:type="gramStart"/>
      <w:r w:rsidRPr="00994A58">
        <w:t>……..</w:t>
      </w:r>
      <w:proofErr w:type="gramEnd"/>
      <w:r w:rsidRPr="00994A58">
        <w:t>tarihinden itibaren ortaklarını incelemesine sunulacağına karar verilmiştir.</w:t>
      </w:r>
    </w:p>
    <w:p w:rsidR="0087241C" w:rsidRDefault="0087241C" w:rsidP="0087241C">
      <w:pPr>
        <w:spacing w:before="1" w:after="0" w:line="278" w:lineRule="auto"/>
        <w:ind w:right="67"/>
        <w:jc w:val="both"/>
        <w:rPr>
          <w:b/>
          <w:color w:val="00B0F0"/>
        </w:rPr>
      </w:pPr>
      <w:r w:rsidRPr="00994A58">
        <w:rPr>
          <w:b/>
          <w:color w:val="00B0F0"/>
        </w:rPr>
        <w:t>(bu karar alınacak, tescil edilmeyip, birleşmenin genel kurulun onayına sunulduğu zaman genel kurul evraklarıyla birlikte getirilecek)</w:t>
      </w:r>
    </w:p>
    <w:p w:rsidR="004D13E7" w:rsidRDefault="004D13E7" w:rsidP="0087241C">
      <w:pPr>
        <w:spacing w:before="1" w:after="0" w:line="278" w:lineRule="auto"/>
        <w:ind w:right="67"/>
        <w:jc w:val="both"/>
        <w:rPr>
          <w:b/>
          <w:color w:val="00B0F0"/>
        </w:rPr>
      </w:pPr>
    </w:p>
    <w:p w:rsidR="004D13E7" w:rsidRDefault="004D13E7" w:rsidP="004D13E7">
      <w:pPr>
        <w:spacing w:before="1" w:after="0" w:line="278" w:lineRule="auto"/>
        <w:ind w:right="67"/>
        <w:jc w:val="both"/>
        <w:rPr>
          <w:b/>
          <w:color w:val="00B0F0"/>
          <w:sz w:val="24"/>
          <w:szCs w:val="24"/>
        </w:rPr>
      </w:pPr>
      <w:proofErr w:type="gramStart"/>
      <w:r>
        <w:rPr>
          <w:color w:val="C00000"/>
          <w:spacing w:val="-2"/>
        </w:rPr>
        <w:t>Not:</w:t>
      </w:r>
      <w:proofErr w:type="spellStart"/>
      <w:r w:rsidRPr="008A6A57">
        <w:rPr>
          <w:color w:val="C00000"/>
          <w:spacing w:val="-2"/>
        </w:rPr>
        <w:t>T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</w:rPr>
        <w:t>m</w:t>
      </w:r>
      <w:r w:rsidRPr="008A6A57">
        <w:rPr>
          <w:color w:val="C00000"/>
          <w:spacing w:val="1"/>
        </w:rPr>
        <w:t>o</w:t>
      </w:r>
      <w:r w:rsidRPr="008A6A57">
        <w:rPr>
          <w:color w:val="C00000"/>
        </w:rPr>
        <w:t>rt</w:t>
      </w:r>
      <w:r w:rsidRPr="008A6A57">
        <w:rPr>
          <w:color w:val="C00000"/>
          <w:spacing w:val="2"/>
        </w:rPr>
        <w:t>a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</w:rPr>
        <w:t>ların</w:t>
      </w:r>
      <w:proofErr w:type="spellEnd"/>
      <w:proofErr w:type="gramEnd"/>
      <w:r w:rsidRPr="008A6A57">
        <w:rPr>
          <w:color w:val="C00000"/>
        </w:rPr>
        <w:t xml:space="preserve"> </w:t>
      </w:r>
      <w:r w:rsidRPr="008A6A57">
        <w:rPr>
          <w:color w:val="C00000"/>
          <w:spacing w:val="1"/>
        </w:rPr>
        <w:t>on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  <w:spacing w:val="-4"/>
        </w:rPr>
        <w:t>y</w:t>
      </w:r>
      <w:r w:rsidRPr="008A6A57">
        <w:rPr>
          <w:color w:val="C00000"/>
        </w:rPr>
        <w:t>l</w:t>
      </w:r>
      <w:r w:rsidRPr="008A6A57">
        <w:rPr>
          <w:color w:val="C00000"/>
          <w:spacing w:val="2"/>
        </w:rPr>
        <w:t>a</w:t>
      </w:r>
      <w:r w:rsidRPr="008A6A57">
        <w:rPr>
          <w:color w:val="C00000"/>
          <w:spacing w:val="-1"/>
        </w:rPr>
        <w:t>ma</w:t>
      </w:r>
      <w:r w:rsidRPr="008A6A57">
        <w:rPr>
          <w:color w:val="C00000"/>
        </w:rPr>
        <w:t xml:space="preserve">sı </w:t>
      </w:r>
      <w:r w:rsidRPr="008A6A57">
        <w:rPr>
          <w:color w:val="C00000"/>
          <w:spacing w:val="1"/>
        </w:rPr>
        <w:t>h</w:t>
      </w:r>
      <w:r w:rsidRPr="008A6A57">
        <w:rPr>
          <w:color w:val="C00000"/>
          <w:spacing w:val="-1"/>
        </w:rPr>
        <w:t>â</w:t>
      </w:r>
      <w:r w:rsidRPr="008A6A57">
        <w:rPr>
          <w:color w:val="C00000"/>
        </w:rPr>
        <w:t>l</w:t>
      </w:r>
      <w:r w:rsidRPr="008A6A57">
        <w:rPr>
          <w:color w:val="C00000"/>
          <w:spacing w:val="1"/>
        </w:rPr>
        <w:t>ind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 xml:space="preserve">, 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  <w:spacing w:val="-1"/>
        </w:rPr>
        <w:t>ç</w:t>
      </w:r>
      <w:r w:rsidRPr="008A6A57">
        <w:rPr>
          <w:color w:val="C00000"/>
          <w:spacing w:val="1"/>
        </w:rPr>
        <w:t>ü</w:t>
      </w:r>
      <w:r w:rsidRPr="008A6A57">
        <w:rPr>
          <w:color w:val="C00000"/>
        </w:rPr>
        <w:t xml:space="preserve">k </w:t>
      </w:r>
      <w:r w:rsidRPr="008A6A57">
        <w:rPr>
          <w:color w:val="C00000"/>
          <w:spacing w:val="-1"/>
        </w:rPr>
        <w:t>v</w:t>
      </w:r>
      <w:r w:rsidRPr="008A6A57">
        <w:rPr>
          <w:color w:val="C00000"/>
        </w:rPr>
        <w:t xml:space="preserve">e </w:t>
      </w:r>
      <w:r w:rsidRPr="008A6A57">
        <w:rPr>
          <w:color w:val="C00000"/>
          <w:spacing w:val="1"/>
        </w:rPr>
        <w:t>o</w:t>
      </w:r>
      <w:r w:rsidRPr="008A6A57">
        <w:rPr>
          <w:color w:val="C00000"/>
        </w:rPr>
        <w:t xml:space="preserve">rta </w:t>
      </w:r>
      <w:r w:rsidRPr="008A6A57">
        <w:rPr>
          <w:color w:val="C00000"/>
          <w:spacing w:val="1"/>
        </w:rPr>
        <w:t>ö</w:t>
      </w:r>
      <w:r w:rsidRPr="008A6A57">
        <w:rPr>
          <w:color w:val="C00000"/>
        </w:rPr>
        <w:t>lç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  <w:spacing w:val="1"/>
        </w:rPr>
        <w:t>k</w:t>
      </w:r>
      <w:r w:rsidRPr="008A6A57">
        <w:rPr>
          <w:color w:val="C00000"/>
        </w:rPr>
        <w:t>li şir</w:t>
      </w:r>
      <w:r w:rsidRPr="008A6A57">
        <w:rPr>
          <w:color w:val="C00000"/>
          <w:spacing w:val="-1"/>
        </w:rPr>
        <w:t>ke</w:t>
      </w:r>
      <w:r w:rsidRPr="008A6A57">
        <w:rPr>
          <w:color w:val="C00000"/>
        </w:rPr>
        <w:t>t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>r i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  <w:spacing w:val="-1"/>
        </w:rPr>
        <w:t>ce</w:t>
      </w:r>
      <w:r w:rsidRPr="008A6A57">
        <w:rPr>
          <w:color w:val="C00000"/>
        </w:rPr>
        <w:t>l</w:t>
      </w:r>
      <w:r w:rsidRPr="008A6A57">
        <w:rPr>
          <w:color w:val="C00000"/>
          <w:spacing w:val="2"/>
        </w:rPr>
        <w:t>e</w:t>
      </w:r>
      <w:r w:rsidRPr="008A6A57">
        <w:rPr>
          <w:color w:val="C00000"/>
          <w:spacing w:val="-3"/>
        </w:rPr>
        <w:t>m</w:t>
      </w:r>
      <w:r w:rsidRPr="008A6A57">
        <w:rPr>
          <w:color w:val="C00000"/>
        </w:rPr>
        <w:t xml:space="preserve">e </w:t>
      </w:r>
      <w:r w:rsidRPr="008A6A57">
        <w:rPr>
          <w:color w:val="C00000"/>
          <w:spacing w:val="1"/>
        </w:rPr>
        <w:t>ha</w:t>
      </w:r>
      <w:r w:rsidRPr="008A6A57">
        <w:rPr>
          <w:color w:val="C00000"/>
          <w:spacing w:val="-1"/>
        </w:rPr>
        <w:t>kk</w:t>
      </w:r>
      <w:r w:rsidRPr="008A6A57">
        <w:rPr>
          <w:color w:val="C00000"/>
        </w:rPr>
        <w:t>ı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</w:rPr>
        <w:t xml:space="preserve">ın </w:t>
      </w:r>
      <w:r w:rsidRPr="008A6A57">
        <w:rPr>
          <w:color w:val="C00000"/>
          <w:spacing w:val="-1"/>
        </w:rPr>
        <w:t>k</w:t>
      </w:r>
      <w:r w:rsidRPr="008A6A57">
        <w:rPr>
          <w:color w:val="C00000"/>
          <w:spacing w:val="1"/>
        </w:rPr>
        <w:t>u</w:t>
      </w:r>
      <w:r w:rsidRPr="008A6A57">
        <w:rPr>
          <w:color w:val="C00000"/>
        </w:rPr>
        <w:t>l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  <w:spacing w:val="1"/>
        </w:rPr>
        <w:t>n</w:t>
      </w:r>
      <w:r w:rsidRPr="008A6A57">
        <w:rPr>
          <w:color w:val="C00000"/>
        </w:rPr>
        <w:t>ı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3"/>
        </w:rPr>
        <w:t>m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</w:rPr>
        <w:t>sı</w:t>
      </w:r>
      <w:r w:rsidRPr="008A6A57">
        <w:rPr>
          <w:color w:val="C00000"/>
          <w:spacing w:val="1"/>
        </w:rPr>
        <w:t>nd</w:t>
      </w:r>
      <w:r w:rsidRPr="008A6A57">
        <w:rPr>
          <w:color w:val="C00000"/>
          <w:spacing w:val="-1"/>
        </w:rPr>
        <w:t>a</w:t>
      </w:r>
      <w:r w:rsidRPr="008A6A57">
        <w:rPr>
          <w:color w:val="C00000"/>
        </w:rPr>
        <w:t xml:space="preserve">n </w:t>
      </w:r>
      <w:r w:rsidRPr="008A6A57">
        <w:rPr>
          <w:color w:val="C00000"/>
          <w:spacing w:val="-1"/>
        </w:rPr>
        <w:t>va</w:t>
      </w:r>
      <w:r w:rsidRPr="008A6A57">
        <w:rPr>
          <w:color w:val="C00000"/>
          <w:spacing w:val="1"/>
        </w:rPr>
        <w:t>z</w:t>
      </w:r>
      <w:r w:rsidRPr="008A6A57">
        <w:rPr>
          <w:color w:val="C00000"/>
          <w:spacing w:val="-1"/>
        </w:rPr>
        <w:t>geçe</w:t>
      </w:r>
      <w:r w:rsidRPr="008A6A57">
        <w:rPr>
          <w:color w:val="C00000"/>
          <w:spacing w:val="1"/>
        </w:rPr>
        <w:t>b</w:t>
      </w:r>
      <w:r w:rsidRPr="008A6A57">
        <w:rPr>
          <w:color w:val="C00000"/>
        </w:rPr>
        <w:t>i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</w:rPr>
        <w:t>ir</w:t>
      </w:r>
      <w:r w:rsidRPr="008A6A57">
        <w:rPr>
          <w:color w:val="C00000"/>
          <w:spacing w:val="1"/>
        </w:rPr>
        <w:t>l</w:t>
      </w:r>
      <w:r w:rsidRPr="008A6A57">
        <w:rPr>
          <w:color w:val="C00000"/>
          <w:spacing w:val="-1"/>
        </w:rPr>
        <w:t>e</w:t>
      </w:r>
      <w:r w:rsidRPr="008A6A57">
        <w:rPr>
          <w:color w:val="C00000"/>
        </w:rPr>
        <w:t>r.</w:t>
      </w:r>
    </w:p>
    <w:p w:rsidR="004D13E7" w:rsidRDefault="004D13E7" w:rsidP="0087241C"/>
    <w:p w:rsidR="0087241C" w:rsidRPr="00994A58" w:rsidRDefault="0087241C" w:rsidP="0087241C">
      <w:r w:rsidRPr="00994A58">
        <w:t xml:space="preserve">2.karar </w:t>
      </w:r>
    </w:p>
    <w:p w:rsidR="0087241C" w:rsidRPr="00994A58" w:rsidRDefault="0087241C" w:rsidP="0087241C">
      <w:r w:rsidRPr="00994A58">
        <w:t>Genel kurul karar örneği</w:t>
      </w:r>
      <w:r>
        <w:t>:</w:t>
      </w:r>
    </w:p>
    <w:p w:rsidR="0087241C" w:rsidRPr="00994A58" w:rsidRDefault="0087241C" w:rsidP="0087241C">
      <w:pPr>
        <w:spacing w:before="1" w:after="0" w:line="278" w:lineRule="auto"/>
        <w:ind w:right="67"/>
        <w:jc w:val="both"/>
      </w:pPr>
      <w:r w:rsidRPr="00994A58">
        <w:t xml:space="preserve">Şirketimizin TTK </w:t>
      </w:r>
      <w:proofErr w:type="spellStart"/>
      <w:r w:rsidRPr="00994A58">
        <w:t>nun</w:t>
      </w:r>
      <w:proofErr w:type="spellEnd"/>
      <w:r w:rsidRPr="00994A58">
        <w:t xml:space="preserve"> 136</w:t>
      </w:r>
      <w:proofErr w:type="gramStart"/>
      <w:r w:rsidRPr="00994A58">
        <w:t>.,</w:t>
      </w:r>
      <w:proofErr w:type="gramEnd"/>
      <w:r w:rsidRPr="00994A58">
        <w:t>155.,156.ve diğer ilgili maddeleri ile Kurumlar Vergisi Kanununun 18,19 ve 20.maddeleri uyarınca …./…../……tarihli mali tabloların/bilançonun esas alınması suretiyle tüm hak ve vecibeleriyle,aktif pasifiyle birlikte kül halinde tasfiyesiz infisah yoluyla ……………..Ticaret Sicili Müdürlüğünde ………..sicil numarasıyla kayıtlı bulunan …………………………………………………………….’</w:t>
      </w:r>
      <w:proofErr w:type="spellStart"/>
      <w:r w:rsidRPr="00994A58">
        <w:t>ni</w:t>
      </w:r>
      <w:proofErr w:type="spellEnd"/>
      <w:r w:rsidRPr="00994A58">
        <w:t xml:space="preserve"> devir </w:t>
      </w:r>
      <w:proofErr w:type="spellStart"/>
      <w:r w:rsidRPr="00994A58">
        <w:t>almasıı</w:t>
      </w:r>
      <w:proofErr w:type="spellEnd"/>
      <w:r w:rsidRPr="00994A58">
        <w:t xml:space="preserve"> ile ilgili yönetim/müdürler  kurulu tarafından alınmış bulunan kararın görüşülmesine geçilerek; ………………..Ticaret Sicili Müdürlüğünde ………..sicil numarasıyla kayıtlı bulunan …………………………………………………………….’ne ……………………….. TTK </w:t>
      </w:r>
      <w:proofErr w:type="spellStart"/>
      <w:r w:rsidRPr="00994A58">
        <w:t>nun</w:t>
      </w:r>
      <w:proofErr w:type="spellEnd"/>
      <w:r w:rsidRPr="00994A58">
        <w:t xml:space="preserve"> 136</w:t>
      </w:r>
      <w:proofErr w:type="gramStart"/>
      <w:r w:rsidRPr="00994A58">
        <w:t>.,</w:t>
      </w:r>
      <w:proofErr w:type="gramEnd"/>
      <w:r w:rsidRPr="00994A58">
        <w:t>155.,156.ve diğer ilgili maddeleri ile Kurumlar Vergisi Kanununun 18,19 ve 20.maddeleri uyarınca …./…../……tarihli mali tabloların/bilançonun esas alınması suretiyle tüm hak ve vecibeleriyle,aktif pasifiyle birlikte kül halinde tasfiyesiz infisah yoluyla şirketi devralma</w:t>
      </w:r>
      <w:r>
        <w:t xml:space="preserve"> yoluyla birleşme işleminin onaylanmasına,</w:t>
      </w:r>
      <w:r w:rsidRPr="00994A58">
        <w:t xml:space="preserve">Birleşme işlemleri tamamlandığından, </w:t>
      </w:r>
    </w:p>
    <w:p w:rsidR="0087241C" w:rsidRPr="00994A58" w:rsidRDefault="0087241C" w:rsidP="0087241C">
      <w:r w:rsidRPr="00994A58">
        <w:t xml:space="preserve">-Birleşme </w:t>
      </w:r>
      <w:proofErr w:type="gramStart"/>
      <w:r w:rsidRPr="00994A58">
        <w:t>Sözleşmemizin ,</w:t>
      </w:r>
      <w:proofErr w:type="gramEnd"/>
    </w:p>
    <w:p w:rsidR="0087241C" w:rsidRPr="00994A58" w:rsidRDefault="0087241C" w:rsidP="0087241C">
      <w:r w:rsidRPr="00994A58">
        <w:t xml:space="preserve">-Finansal Tabloları ve Yıllık Faaliyet </w:t>
      </w:r>
      <w:proofErr w:type="gramStart"/>
      <w:r w:rsidRPr="00994A58">
        <w:t>Raporlarının  Genel</w:t>
      </w:r>
      <w:proofErr w:type="gramEnd"/>
      <w:r w:rsidRPr="00994A58">
        <w:t xml:space="preserve"> Kurulun onayına sunulmasına,</w:t>
      </w:r>
    </w:p>
    <w:p w:rsidR="0087241C" w:rsidRPr="00994A58" w:rsidRDefault="0087241C" w:rsidP="0087241C">
      <w:r w:rsidRPr="00994A58">
        <w:t xml:space="preserve">-Birleşme itibariyle Şirket sermayemizin </w:t>
      </w:r>
      <w:proofErr w:type="gramStart"/>
      <w:r w:rsidRPr="00994A58">
        <w:t>…………..……………….</w:t>
      </w:r>
      <w:proofErr w:type="gramEnd"/>
      <w:r w:rsidRPr="00994A58">
        <w:t>TL den …………………………………TL ye çıkarılmasına,birleşme ile ilgili TTK hükümleri gereği alacaklılara ilanen duyurularının yapılmasına ,</w:t>
      </w:r>
    </w:p>
    <w:p w:rsidR="0087241C" w:rsidRPr="00994A58" w:rsidRDefault="0087241C" w:rsidP="0087241C">
      <w:r w:rsidRPr="00994A58">
        <w:t>Oy birliği ile karar verilmiştir.</w:t>
      </w:r>
    </w:p>
    <w:p w:rsidR="0087241C" w:rsidRPr="0087241C" w:rsidRDefault="0087241C">
      <w:pPr>
        <w:rPr>
          <w:sz w:val="20"/>
          <w:szCs w:val="20"/>
        </w:rPr>
      </w:pPr>
    </w:p>
    <w:sectPr w:rsidR="0087241C" w:rsidRPr="0087241C" w:rsidSect="0012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1C"/>
    <w:rsid w:val="00125569"/>
    <w:rsid w:val="001E4E01"/>
    <w:rsid w:val="004D13E7"/>
    <w:rsid w:val="0087241C"/>
    <w:rsid w:val="00E5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24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1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24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win7</cp:lastModifiedBy>
  <cp:revision>2</cp:revision>
  <dcterms:created xsi:type="dcterms:W3CDTF">2014-01-06T08:02:00Z</dcterms:created>
  <dcterms:modified xsi:type="dcterms:W3CDTF">2014-01-06T08:02:00Z</dcterms:modified>
</cp:coreProperties>
</file>